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color w:val="auto"/>
          <w:sz w:val="24"/>
          <w:szCs w:val="24"/>
        </w:rPr>
        <w:t xml:space="preserve">3GPP TSG-RAN WG4 Meeting # </w:t>
      </w:r>
      <w:r>
        <w:rPr>
          <w:rFonts w:hint="eastAsia" w:ascii="Arial" w:hAnsi="Arial" w:cs="Arial"/>
          <w:b/>
          <w:color w:val="auto"/>
          <w:sz w:val="24"/>
          <w:szCs w:val="24"/>
        </w:rPr>
        <w:t>10</w:t>
      </w:r>
      <w:r>
        <w:rPr>
          <w:rFonts w:hint="eastAsia" w:ascii="Arial" w:hAnsi="Arial" w:cs="Arial"/>
          <w:b/>
          <w:color w:val="auto"/>
          <w:sz w:val="24"/>
          <w:szCs w:val="24"/>
          <w:lang w:val="en-US" w:eastAsia="zh-CN"/>
        </w:rPr>
        <w:t>9</w:t>
      </w:r>
      <w:r>
        <w:rPr>
          <w:rFonts w:hint="eastAsia" w:ascii="Arial" w:hAnsi="Arial" w:cs="Arial"/>
          <w:b/>
          <w:color w:val="auto"/>
          <w:sz w:val="24"/>
          <w:szCs w:val="24"/>
        </w:rPr>
        <w:t xml:space="preserve"> </w:t>
      </w:r>
      <w:r>
        <w:rPr>
          <w:rFonts w:hint="eastAsia" w:ascii="Arial" w:hAnsi="Arial" w:cs="Arial"/>
          <w:b/>
          <w:color w:val="auto"/>
          <w:sz w:val="24"/>
          <w:szCs w:val="24"/>
        </w:rPr>
        <w:t xml:space="preserve">                              </w:t>
      </w:r>
      <w:r>
        <w:rPr>
          <w:rFonts w:hint="eastAsia" w:ascii="Arial" w:hAnsi="Arial" w:cs="Arial"/>
          <w:b/>
          <w:color w:val="auto"/>
          <w:sz w:val="24"/>
          <w:szCs w:val="24"/>
        </w:rPr>
        <w:t>R4-2319533</w:t>
      </w:r>
    </w:p>
    <w:bookmarkEnd w:id="2"/>
    <w:p>
      <w:pPr>
        <w:pStyle w:val="15"/>
        <w:widowControl w:val="0"/>
        <w:tabs>
          <w:tab w:val="right" w:pos="10440"/>
          <w:tab w:val="right" w:pos="13323"/>
          <w:tab w:val="clear" w:pos="4680"/>
          <w:tab w:val="clear" w:pos="9360"/>
        </w:tabs>
        <w:spacing w:beforeLines="0" w:afterLines="0"/>
        <w:outlineLvl w:val="0"/>
        <w:rPr>
          <w:b/>
          <w:i/>
          <w:color w:val="auto"/>
          <w:sz w:val="24"/>
        </w:rPr>
      </w:pPr>
      <w:r>
        <w:rPr>
          <w:rFonts w:hint="eastAsia" w:ascii="Arial" w:hAnsi="Arial" w:eastAsia="宋体" w:cs="Arial"/>
          <w:b/>
          <w:color w:val="auto"/>
          <w:sz w:val="24"/>
          <w:szCs w:val="24"/>
          <w:lang w:eastAsia="zh-CN"/>
        </w:rPr>
        <w:t>Chicago, US, November 13 – 17, 2023</w:t>
      </w: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NR_cov_enh2 demodulation requirements</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bookmarkStart w:id="11" w:name="_GoBack"/>
      <w:bookmarkEnd w:id="11"/>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8.27.2</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sz w:val="20"/>
          <w:szCs w:val="20"/>
          <w:lang w:val="en-US" w:eastAsia="zh-CN"/>
        </w:rPr>
      </w:pPr>
      <w:r>
        <w:rPr>
          <w:rFonts w:hint="eastAsia"/>
          <w:sz w:val="20"/>
          <w:szCs w:val="20"/>
          <w:lang w:val="en-US" w:eastAsia="zh-CN"/>
        </w:rPr>
        <w:t>In RAN #96e meeting</w:t>
      </w:r>
      <w:r>
        <w:rPr>
          <w:rFonts w:hint="eastAsia"/>
          <w:sz w:val="20"/>
          <w:szCs w:val="20"/>
          <w:vertAlign w:val="baseline"/>
          <w:lang w:val="en-US" w:eastAsia="zh-CN"/>
        </w:rPr>
        <w:t>[1]</w:t>
      </w:r>
      <w:r>
        <w:rPr>
          <w:rFonts w:hint="eastAsia"/>
          <w:sz w:val="20"/>
          <w:szCs w:val="20"/>
          <w:lang w:val="en-US" w:eastAsia="zh-CN"/>
        </w:rPr>
        <w:t xml:space="preserve">, the revised work item on Revised WID on further NR coverage enhancements was approved. In RAN4 # 108bis meeting some agreements were reached while some issues about multiple PRACH transmission and power domain enhancements need further discussion.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kern w:val="0"/>
          <w:sz w:val="20"/>
          <w:lang w:val="en-US" w:eastAsia="zh-CN"/>
        </w:rPr>
      </w:pPr>
      <w:r>
        <w:rPr>
          <w:rFonts w:hint="eastAsia"/>
          <w:kern w:val="0"/>
          <w:sz w:val="20"/>
          <w:lang w:val="en-US" w:eastAsia="zh-CN"/>
        </w:rPr>
        <w:t xml:space="preserve">This contribution shares our views about the NR_cov_enh2 demodulation requirements in the specification. </w:t>
      </w:r>
    </w:p>
    <w:bookmarkEnd w:id="3"/>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bookmarkStart w:id="4" w:name="OLE_LINK41"/>
      <w:bookmarkStart w:id="5" w:name="OLE_LINK6"/>
      <w:bookmarkStart w:id="6" w:name="OLE_LINK66"/>
      <w:bookmarkStart w:id="7" w:name="OLE_LINK23"/>
      <w:r>
        <w:rPr>
          <w:rFonts w:hint="eastAsia"/>
          <w:sz w:val="20"/>
          <w:lang w:val="en-US" w:eastAsia="zh-CN"/>
        </w:rPr>
        <w:t>Some open issues about PRACH are listed below[2].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pageBreakBefore w:val="0"/>
              <w:kinsoku/>
              <w:wordWrap/>
              <w:overflowPunct/>
              <w:topLinePunct w:val="0"/>
              <w:autoSpaceDE/>
              <w:autoSpaceDN/>
              <w:bidi w:val="0"/>
              <w:adjustRightInd w:val="0"/>
              <w:snapToGrid w:val="0"/>
              <w:spacing w:after="180" w:afterLines="0" w:line="240" w:lineRule="auto"/>
              <w:textAlignment w:val="auto"/>
              <w:rPr>
                <w:b/>
                <w:sz w:val="20"/>
                <w:szCs w:val="20"/>
                <w:u w:val="single"/>
              </w:rPr>
            </w:pPr>
            <w:r>
              <w:rPr>
                <w:b/>
                <w:sz w:val="20"/>
                <w:szCs w:val="20"/>
                <w:u w:val="single"/>
              </w:rPr>
              <w:t>Issue 1-1-4: PRACH repetition number for BS performance requirements for Multiple PRACH transmission</w:t>
            </w:r>
          </w:p>
          <w:p>
            <w:pPr>
              <w:keepNext w:val="0"/>
              <w:keepLines w:val="0"/>
              <w:pageBreakBefore w:val="0"/>
              <w:widowControl w:val="0"/>
              <w:numPr>
                <w:ilvl w:val="1"/>
                <w:numId w:val="7"/>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Option 1: Test 8 times for PRACH repetition if the SNR value could be testable</w:t>
            </w:r>
          </w:p>
          <w:p>
            <w:pPr>
              <w:keepNext w:val="0"/>
              <w:keepLines w:val="0"/>
              <w:pageBreakBefore w:val="0"/>
              <w:widowControl w:val="0"/>
              <w:numPr>
                <w:ilvl w:val="1"/>
                <w:numId w:val="7"/>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rFonts w:hint="eastAsia"/>
                <w:sz w:val="20"/>
                <w:szCs w:val="20"/>
                <w:lang w:eastAsia="zh-CN"/>
              </w:rPr>
              <w:t>O</w:t>
            </w:r>
            <w:r>
              <w:rPr>
                <w:sz w:val="20"/>
                <w:szCs w:val="20"/>
                <w:lang w:eastAsia="zh-CN"/>
              </w:rPr>
              <w:t>ption 2: Define PRACH requirements for 2 PRACH transmissions</w:t>
            </w:r>
          </w:p>
          <w:p>
            <w:pPr>
              <w:keepNext w:val="0"/>
              <w:keepLines w:val="0"/>
              <w:pageBreakBefore w:val="0"/>
              <w:widowControl w:val="0"/>
              <w:numPr>
                <w:ilvl w:val="1"/>
                <w:numId w:val="7"/>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rFonts w:hint="eastAsia" w:eastAsiaTheme="minorEastAsia"/>
                <w:sz w:val="20"/>
                <w:szCs w:val="20"/>
                <w:lang w:eastAsia="zh-CN"/>
              </w:rPr>
              <w:t>O</w:t>
            </w:r>
            <w:r>
              <w:rPr>
                <w:rFonts w:eastAsiaTheme="minorEastAsia"/>
                <w:sz w:val="20"/>
                <w:szCs w:val="20"/>
                <w:lang w:eastAsia="zh-CN"/>
              </w:rPr>
              <w:t>ther options are not precluded</w:t>
            </w:r>
          </w:p>
          <w:p>
            <w:pPr>
              <w:keepNext w:val="0"/>
              <w:keepLines w:val="0"/>
              <w:pageBreakBefore w:val="0"/>
              <w:kinsoku/>
              <w:wordWrap/>
              <w:overflowPunct/>
              <w:topLinePunct w:val="0"/>
              <w:autoSpaceDE/>
              <w:autoSpaceDN/>
              <w:bidi w:val="0"/>
              <w:adjustRightInd w:val="0"/>
              <w:snapToGrid w:val="0"/>
              <w:spacing w:after="180" w:afterLines="0" w:line="240" w:lineRule="auto"/>
              <w:textAlignment w:val="auto"/>
              <w:rPr>
                <w:b/>
                <w:sz w:val="20"/>
                <w:szCs w:val="20"/>
                <w:u w:val="single"/>
              </w:rPr>
            </w:pPr>
            <w:r>
              <w:rPr>
                <w:b/>
                <w:sz w:val="20"/>
                <w:szCs w:val="20"/>
                <w:u w:val="single"/>
              </w:rPr>
              <w:t>Issue 1-1-6: Channel model for BS performance requirements for Multiple PRACH transmission</w:t>
            </w:r>
          </w:p>
          <w:p>
            <w:pPr>
              <w:pStyle w:val="33"/>
              <w:keepNext w:val="0"/>
              <w:keepLines w:val="0"/>
              <w:pageBreakBefore w:val="0"/>
              <w:numPr>
                <w:ilvl w:val="0"/>
                <w:numId w:val="8"/>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FR1 (if introduced)</w:t>
            </w:r>
          </w:p>
          <w:p>
            <w:pPr>
              <w:pStyle w:val="33"/>
              <w:keepNext w:val="0"/>
              <w:keepLines w:val="0"/>
              <w:pageBreakBefore w:val="0"/>
              <w:numPr>
                <w:ilvl w:val="1"/>
                <w:numId w:val="8"/>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Option 1: TDLC 300-100 Low and AWGN channels</w:t>
            </w:r>
          </w:p>
          <w:p>
            <w:pPr>
              <w:pStyle w:val="33"/>
              <w:keepNext w:val="0"/>
              <w:keepLines w:val="0"/>
              <w:pageBreakBefore w:val="0"/>
              <w:numPr>
                <w:ilvl w:val="1"/>
                <w:numId w:val="8"/>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Option 2: Use CDL-A to define requirements for PRACH coverage enhancements to capture spatial gains</w:t>
            </w:r>
          </w:p>
          <w:p>
            <w:pPr>
              <w:pStyle w:val="33"/>
              <w:keepNext w:val="0"/>
              <w:keepLines w:val="0"/>
              <w:pageBreakBefore w:val="0"/>
              <w:numPr>
                <w:ilvl w:val="0"/>
                <w:numId w:val="8"/>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FR2-1</w:t>
            </w:r>
          </w:p>
          <w:p>
            <w:pPr>
              <w:pStyle w:val="33"/>
              <w:keepNext w:val="0"/>
              <w:keepLines w:val="0"/>
              <w:pageBreakBefore w:val="0"/>
              <w:numPr>
                <w:ilvl w:val="1"/>
                <w:numId w:val="8"/>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Option 1: TDLA30-300 Low and AWGN channels</w:t>
            </w:r>
          </w:p>
          <w:p>
            <w:pPr>
              <w:pStyle w:val="33"/>
              <w:keepNext w:val="0"/>
              <w:keepLines w:val="0"/>
              <w:pageBreakBefore w:val="0"/>
              <w:numPr>
                <w:ilvl w:val="1"/>
                <w:numId w:val="8"/>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Option 2: Use CDL-A to define requirements for PRACH coverage enhancements to capture spatial gains</w:t>
            </w:r>
          </w:p>
          <w:p>
            <w:pPr>
              <w:keepNext w:val="0"/>
              <w:keepLines w:val="0"/>
              <w:pageBreakBefore w:val="0"/>
              <w:kinsoku/>
              <w:wordWrap/>
              <w:overflowPunct/>
              <w:topLinePunct w:val="0"/>
              <w:autoSpaceDE/>
              <w:autoSpaceDN/>
              <w:bidi w:val="0"/>
              <w:adjustRightInd w:val="0"/>
              <w:snapToGrid w:val="0"/>
              <w:spacing w:after="180" w:afterLines="0" w:line="240" w:lineRule="auto"/>
              <w:textAlignment w:val="auto"/>
              <w:rPr>
                <w:b/>
                <w:sz w:val="20"/>
                <w:szCs w:val="20"/>
                <w:u w:val="single"/>
              </w:rPr>
            </w:pPr>
            <w:r>
              <w:rPr>
                <w:b/>
                <w:sz w:val="20"/>
                <w:szCs w:val="20"/>
                <w:u w:val="single"/>
              </w:rPr>
              <w:t>Issue 1-1-8: Sub Carrier Spacing for BS performance requirements for PRACH repetitions</w:t>
            </w:r>
          </w:p>
          <w:p>
            <w:pPr>
              <w:pStyle w:val="33"/>
              <w:keepNext w:val="0"/>
              <w:keepLines w:val="0"/>
              <w:pageBreakBefore w:val="0"/>
              <w:numPr>
                <w:ilvl w:val="0"/>
                <w:numId w:val="7"/>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FR1 (if introduced)</w:t>
            </w:r>
          </w:p>
          <w:p>
            <w:pPr>
              <w:pStyle w:val="33"/>
              <w:keepNext w:val="0"/>
              <w:keepLines w:val="0"/>
              <w:pageBreakBefore w:val="0"/>
              <w:numPr>
                <w:ilvl w:val="1"/>
                <w:numId w:val="7"/>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Option 1: 15kHz and 30kHz</w:t>
            </w:r>
          </w:p>
          <w:p>
            <w:pPr>
              <w:pStyle w:val="33"/>
              <w:keepNext w:val="0"/>
              <w:keepLines w:val="0"/>
              <w:pageBreakBefore w:val="0"/>
              <w:numPr>
                <w:ilvl w:val="1"/>
                <w:numId w:val="7"/>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Other options are not precluded</w:t>
            </w:r>
          </w:p>
          <w:p>
            <w:pPr>
              <w:pStyle w:val="33"/>
              <w:keepNext w:val="0"/>
              <w:keepLines w:val="0"/>
              <w:pageBreakBefore w:val="0"/>
              <w:numPr>
                <w:ilvl w:val="0"/>
                <w:numId w:val="7"/>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FR2-1</w:t>
            </w:r>
          </w:p>
          <w:p>
            <w:pPr>
              <w:pStyle w:val="33"/>
              <w:keepNext w:val="0"/>
              <w:keepLines w:val="0"/>
              <w:pageBreakBefore w:val="0"/>
              <w:numPr>
                <w:ilvl w:val="1"/>
                <w:numId w:val="7"/>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Option 1: Use 60kHz SCS</w:t>
            </w:r>
          </w:p>
          <w:p>
            <w:pPr>
              <w:pStyle w:val="33"/>
              <w:keepNext w:val="0"/>
              <w:keepLines w:val="0"/>
              <w:pageBreakBefore w:val="0"/>
              <w:numPr>
                <w:ilvl w:val="1"/>
                <w:numId w:val="7"/>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Option 2: Cover 60kHz SCS and 120kHz SCS</w:t>
            </w:r>
          </w:p>
          <w:p>
            <w:pPr>
              <w:pStyle w:val="33"/>
              <w:keepNext w:val="0"/>
              <w:keepLines w:val="0"/>
              <w:pageBreakBefore w:val="0"/>
              <w:numPr>
                <w:ilvl w:val="1"/>
                <w:numId w:val="7"/>
              </w:numPr>
              <w:kinsoku/>
              <w:wordWrap/>
              <w:overflowPunct/>
              <w:topLinePunct w:val="0"/>
              <w:autoSpaceDE/>
              <w:autoSpaceDN/>
              <w:bidi w:val="0"/>
              <w:adjustRightInd w:val="0"/>
              <w:snapToGrid w:val="0"/>
              <w:spacing w:after="180" w:afterLines="0" w:line="240" w:lineRule="auto"/>
              <w:ind w:firstLineChars="0"/>
              <w:textAlignment w:val="auto"/>
              <w:rPr>
                <w:sz w:val="20"/>
                <w:szCs w:val="20"/>
                <w:lang w:eastAsia="zh-CN"/>
              </w:rPr>
            </w:pPr>
            <w:r>
              <w:rPr>
                <w:sz w:val="20"/>
                <w:szCs w:val="20"/>
                <w:lang w:eastAsia="zh-CN"/>
              </w:rPr>
              <w:t>Option 3: 120kHz SCS</w:t>
            </w:r>
          </w:p>
          <w:p>
            <w:pPr>
              <w:keepNext w:val="0"/>
              <w:keepLines w:val="0"/>
              <w:pageBreakBefore w:val="0"/>
              <w:kinsoku/>
              <w:wordWrap/>
              <w:overflowPunct/>
              <w:topLinePunct w:val="0"/>
              <w:autoSpaceDE/>
              <w:autoSpaceDN/>
              <w:bidi w:val="0"/>
              <w:adjustRightInd w:val="0"/>
              <w:snapToGrid w:val="0"/>
              <w:spacing w:after="180" w:afterLines="0" w:line="240" w:lineRule="auto"/>
              <w:textAlignment w:val="auto"/>
              <w:rPr>
                <w:b/>
                <w:sz w:val="20"/>
                <w:szCs w:val="20"/>
                <w:u w:val="single"/>
              </w:rPr>
            </w:pPr>
            <w:r>
              <w:rPr>
                <w:b/>
                <w:sz w:val="20"/>
                <w:szCs w:val="20"/>
                <w:u w:val="single"/>
              </w:rPr>
              <w:t>Issue 1-1-9: PRACH preamble format for BS performance requirements for Multiple PRACH transmission</w:t>
            </w:r>
          </w:p>
          <w:p>
            <w:pPr>
              <w:keepNext w:val="0"/>
              <w:keepLines w:val="0"/>
              <w:pageBreakBefore w:val="0"/>
              <w:widowControl w:val="0"/>
              <w:numPr>
                <w:ilvl w:val="1"/>
                <w:numId w:val="7"/>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Option 1: Use</w:t>
            </w:r>
            <w:r>
              <w:rPr>
                <w:sz w:val="20"/>
                <w:szCs w:val="20"/>
              </w:rPr>
              <w:t xml:space="preserve"> PRACH format B4</w:t>
            </w:r>
          </w:p>
          <w:p>
            <w:pPr>
              <w:keepNext w:val="0"/>
              <w:keepLines w:val="0"/>
              <w:pageBreakBefore w:val="0"/>
              <w:widowControl w:val="0"/>
              <w:numPr>
                <w:ilvl w:val="1"/>
                <w:numId w:val="7"/>
              </w:numPr>
              <w:tabs>
                <w:tab w:val="left" w:pos="484"/>
                <w:tab w:val="left" w:pos="709"/>
                <w:tab w:val="left" w:pos="1440"/>
                <w:tab w:val="left" w:pos="1701"/>
              </w:tabs>
              <w:kinsoku/>
              <w:wordWrap/>
              <w:overflowPunct/>
              <w:topLinePunct w:val="0"/>
              <w:autoSpaceDE/>
              <w:autoSpaceDN/>
              <w:bidi w:val="0"/>
              <w:adjustRightInd w:val="0"/>
              <w:snapToGrid w:val="0"/>
              <w:spacing w:before="60" w:after="180" w:afterLines="0" w:line="240" w:lineRule="auto"/>
              <w:ind w:left="730" w:leftChars="213" w:hanging="283"/>
              <w:textAlignment w:val="auto"/>
              <w:rPr>
                <w:rFonts w:hint="default"/>
                <w:sz w:val="20"/>
                <w:szCs w:val="20"/>
                <w:vertAlign w:val="baseline"/>
                <w:lang w:val="en-US" w:eastAsia="zh-CN"/>
              </w:rPr>
            </w:pPr>
            <w:r>
              <w:rPr>
                <w:rFonts w:hint="eastAsia"/>
                <w:sz w:val="20"/>
                <w:szCs w:val="20"/>
                <w:lang w:eastAsia="zh-CN"/>
              </w:rPr>
              <w:t>O</w:t>
            </w:r>
            <w:r>
              <w:rPr>
                <w:sz w:val="20"/>
                <w:szCs w:val="20"/>
                <w:lang w:eastAsia="zh-CN"/>
              </w:rPr>
              <w:t>ption 2: Cover PRACH preamble format A1, A2, A3, B4, C0 and C2</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r>
        <w:rPr>
          <w:rFonts w:hint="eastAsia"/>
          <w:sz w:val="20"/>
          <w:lang w:val="en-US" w:eastAsia="zh-CN"/>
        </w:rPr>
        <w:t>With regard to frequency range, the description of the WID[1] is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before="120" w:after="180" w:line="280" w:lineRule="atLeast"/>
              <w:jc w:val="both"/>
              <w:textAlignment w:val="baseline"/>
              <w:rPr>
                <w:rFonts w:ascii="Times New Roman" w:hAnsi="Times New Roman"/>
                <w:iCs/>
                <w:lang w:eastAsia="zh-CN"/>
              </w:rPr>
            </w:pPr>
            <w:r>
              <w:rPr>
                <w:rFonts w:ascii="Times New Roman" w:hAnsi="Times New Roman"/>
                <w:iCs/>
              </w:rPr>
              <w:t>The detailed objectives of the work item are as follows:</w:t>
            </w:r>
          </w:p>
          <w:p>
            <w:pPr>
              <w:numPr>
                <w:ilvl w:val="0"/>
                <w:numId w:val="9"/>
              </w:numPr>
              <w:overflowPunct w:val="0"/>
              <w:autoSpaceDE w:val="0"/>
              <w:autoSpaceDN w:val="0"/>
              <w:adjustRightInd w:val="0"/>
              <w:spacing w:before="120" w:after="120" w:line="276" w:lineRule="auto"/>
              <w:ind w:hanging="357"/>
              <w:jc w:val="both"/>
              <w:textAlignment w:val="baseline"/>
              <w:rPr>
                <w:rFonts w:ascii="Times New Roman" w:hAnsi="Times New Roman"/>
                <w:lang w:eastAsia="zh-CN"/>
              </w:rPr>
            </w:pPr>
            <w:r>
              <w:rPr>
                <w:rFonts w:ascii="Times New Roman" w:hAnsi="Times New Roman"/>
                <w:lang w:eastAsia="zh-CN"/>
              </w:rPr>
              <w:t>Specify following PRACH coverage enhancements (RAN1, RAN2)</w:t>
            </w:r>
          </w:p>
          <w:p>
            <w:pPr>
              <w:numPr>
                <w:ilvl w:val="1"/>
                <w:numId w:val="9"/>
              </w:numPr>
              <w:overflowPunct w:val="0"/>
              <w:autoSpaceDE w:val="0"/>
              <w:autoSpaceDN w:val="0"/>
              <w:adjustRightInd w:val="0"/>
              <w:spacing w:before="120" w:after="120" w:line="276" w:lineRule="auto"/>
              <w:ind w:hanging="357"/>
              <w:jc w:val="both"/>
              <w:textAlignment w:val="baseline"/>
              <w:rPr>
                <w:rFonts w:ascii="Times New Roman" w:hAnsi="Times New Roman"/>
                <w:lang w:eastAsia="zh-CN"/>
              </w:rPr>
            </w:pPr>
            <w:r>
              <w:rPr>
                <w:rFonts w:ascii="Times New Roman" w:hAnsi="Times New Roman"/>
                <w:iCs/>
              </w:rPr>
              <w:t xml:space="preserve">Multiple PRACH transmissions with same beams </w:t>
            </w:r>
            <w:r>
              <w:rPr>
                <w:rFonts w:ascii="Times New Roman" w:hAnsi="Times New Roman"/>
                <w:iCs/>
                <w:lang w:eastAsia="zh-CN"/>
              </w:rPr>
              <w:t xml:space="preserve">for </w:t>
            </w:r>
            <w:r>
              <w:rPr>
                <w:rFonts w:ascii="Times New Roman" w:hAnsi="Times New Roman"/>
                <w:iCs/>
              </w:rPr>
              <w:t>4-step RACH procedure</w:t>
            </w:r>
          </w:p>
          <w:p>
            <w:pPr>
              <w:numPr>
                <w:ilvl w:val="1"/>
                <w:numId w:val="9"/>
              </w:numPr>
              <w:overflowPunct w:val="0"/>
              <w:autoSpaceDE w:val="0"/>
              <w:autoSpaceDN w:val="0"/>
              <w:adjustRightInd w:val="0"/>
              <w:spacing w:before="120" w:after="120" w:line="276" w:lineRule="auto"/>
              <w:ind w:hanging="357"/>
              <w:jc w:val="both"/>
              <w:textAlignment w:val="baseline"/>
              <w:rPr>
                <w:rFonts w:ascii="Times New Roman" w:hAnsi="Times New Roman"/>
                <w:lang w:eastAsia="zh-CN"/>
              </w:rPr>
            </w:pPr>
            <w:r>
              <w:rPr>
                <w:rFonts w:ascii="Times New Roman" w:hAnsi="Times New Roman"/>
                <w:iCs/>
              </w:rPr>
              <w:t xml:space="preserve">Study, and if justified, specify PRACH transmissions with different beams </w:t>
            </w:r>
            <w:r>
              <w:rPr>
                <w:rFonts w:ascii="Times New Roman" w:hAnsi="Times New Roman"/>
                <w:iCs/>
                <w:lang w:eastAsia="zh-CN"/>
              </w:rPr>
              <w:t xml:space="preserve">for </w:t>
            </w:r>
            <w:r>
              <w:rPr>
                <w:rFonts w:ascii="Times New Roman" w:hAnsi="Times New Roman"/>
                <w:iCs/>
              </w:rPr>
              <w:t>4-step RACH procedure</w:t>
            </w:r>
          </w:p>
          <w:p>
            <w:pPr>
              <w:numPr>
                <w:ilvl w:val="1"/>
                <w:numId w:val="9"/>
              </w:numPr>
              <w:overflowPunct w:val="0"/>
              <w:autoSpaceDE w:val="0"/>
              <w:autoSpaceDN w:val="0"/>
              <w:adjustRightInd w:val="0"/>
              <w:spacing w:before="120" w:after="120" w:line="276" w:lineRule="auto"/>
              <w:ind w:hanging="357"/>
              <w:jc w:val="both"/>
              <w:textAlignment w:val="baseline"/>
              <w:rPr>
                <w:rFonts w:ascii="Times New Roman" w:hAnsi="Times New Roman"/>
                <w:lang w:eastAsia="zh-CN"/>
              </w:rPr>
            </w:pPr>
            <w:r>
              <w:rPr>
                <w:rFonts w:ascii="Times New Roman" w:hAnsi="Times New Roman"/>
                <w:iCs/>
              </w:rPr>
              <w:t>Note</w:t>
            </w:r>
            <w:r>
              <w:rPr>
                <w:rFonts w:ascii="Times New Roman" w:hAnsi="Times New Roman"/>
                <w:iCs/>
                <w:lang w:eastAsia="zh-CN"/>
              </w:rPr>
              <w:t xml:space="preserve"> 1</w:t>
            </w:r>
            <w:r>
              <w:rPr>
                <w:rFonts w:ascii="Times New Roman" w:hAnsi="Times New Roman"/>
                <w:iCs/>
              </w:rPr>
              <w:t>: The enhancements of PRACH are targeting for FR2, and can also apply to FR1 when applicable.</w:t>
            </w:r>
          </w:p>
          <w:p>
            <w:pPr>
              <w:numPr>
                <w:ilvl w:val="1"/>
                <w:numId w:val="9"/>
              </w:numPr>
              <w:overflowPunct w:val="0"/>
              <w:autoSpaceDE w:val="0"/>
              <w:autoSpaceDN w:val="0"/>
              <w:adjustRightInd w:val="0"/>
              <w:spacing w:before="120" w:after="120" w:line="276" w:lineRule="auto"/>
              <w:ind w:hanging="357"/>
              <w:jc w:val="both"/>
              <w:textAlignment w:val="baseline"/>
              <w:rPr>
                <w:rFonts w:hint="eastAsia"/>
                <w:sz w:val="20"/>
                <w:vertAlign w:val="baseline"/>
                <w:lang w:val="en-US" w:eastAsia="zh-CN"/>
              </w:rPr>
            </w:pPr>
            <w:r>
              <w:rPr>
                <w:rFonts w:ascii="Times New Roman" w:hAnsi="Times New Roman"/>
                <w:iCs/>
              </w:rPr>
              <w:t>Note</w:t>
            </w:r>
            <w:r>
              <w:rPr>
                <w:rFonts w:ascii="Times New Roman" w:hAnsi="Times New Roman"/>
                <w:iCs/>
                <w:lang w:eastAsia="zh-CN"/>
              </w:rPr>
              <w:t xml:space="preserve"> 2</w:t>
            </w:r>
            <w:r>
              <w:rPr>
                <w:rFonts w:ascii="Times New Roman" w:hAnsi="Times New Roman"/>
                <w:iCs/>
              </w:rPr>
              <w:t xml:space="preserve">: The enhancements of PRACH are targeting short </w:t>
            </w:r>
            <w:r>
              <w:rPr>
                <w:rFonts w:ascii="Times New Roman" w:hAnsi="Times New Roman"/>
                <w:iCs/>
                <w:lang w:eastAsia="zh-CN"/>
              </w:rPr>
              <w:t>PRACH</w:t>
            </w:r>
            <w:r>
              <w:rPr>
                <w:rFonts w:ascii="Times New Roman" w:hAnsi="Times New Roman"/>
                <w:iCs/>
              </w:rPr>
              <w:t xml:space="preserve"> formats</w:t>
            </w:r>
            <w:r>
              <w:rPr>
                <w:rFonts w:ascii="Times New Roman" w:hAnsi="Times New Roman"/>
                <w:iCs/>
                <w:lang w:eastAsia="zh-CN"/>
              </w:rPr>
              <w:t xml:space="preserve">, and </w:t>
            </w:r>
            <w:r>
              <w:rPr>
                <w:rFonts w:ascii="Times New Roman" w:hAnsi="Times New Roman"/>
                <w:szCs w:val="21"/>
              </w:rPr>
              <w:t>can also apply to other formats</w:t>
            </w:r>
            <w:r>
              <w:rPr>
                <w:rFonts w:ascii="Times New Roman" w:hAnsi="Times New Roman"/>
                <w:iCs/>
              </w:rPr>
              <w:t xml:space="preserve"> when applicable.</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r>
        <w:rPr>
          <w:rFonts w:hint="eastAsia"/>
          <w:sz w:val="20"/>
          <w:lang w:val="en-US" w:eastAsia="zh-CN"/>
        </w:rPr>
        <w:t>From the WID we can see that FR1 is not excluded. But from coverage point of view, multiple PRACH is more necessary for FR2.</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r>
        <w:rPr>
          <w:rFonts w:hint="eastAsia"/>
          <w:sz w:val="20"/>
          <w:lang w:val="en-US" w:eastAsia="zh-CN"/>
        </w:rPr>
        <w:t>With regard to FR2-2, FR2-2 will use SCS of 480kHz and 960kHz to support larger bandwidth. Whether to consider FR2-2, the viewpoint from operator is needed.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Observation 1. Larger SCS is needed for FR2-2 due to the larger BW.</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r>
        <w:rPr>
          <w:rFonts w:hint="eastAsia"/>
          <w:sz w:val="20"/>
          <w:lang w:val="en-US" w:eastAsia="zh-CN"/>
        </w:rPr>
        <w:t>With regard to the number of repetition for multiple PRACH, we give the simulation results for different number of repetition for AWGN 1X1.</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drawing>
          <wp:inline distT="0" distB="0" distL="114300" distR="114300">
            <wp:extent cx="3318510" cy="2727325"/>
            <wp:effectExtent l="0" t="0" r="381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rcRect l="4014" t="2291" r="7264" b="636"/>
                    <a:stretch>
                      <a:fillRect/>
                    </a:stretch>
                  </pic:blipFill>
                  <pic:spPr>
                    <a:xfrm>
                      <a:off x="0" y="0"/>
                      <a:ext cx="3318510" cy="2727325"/>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sz w:val="20"/>
          <w:lang w:val="en-US" w:eastAsia="zh-CN"/>
        </w:rPr>
      </w:pPr>
      <w:r>
        <w:rPr>
          <w:rFonts w:hint="eastAsia"/>
          <w:sz w:val="20"/>
          <w:lang w:val="en-US" w:eastAsia="zh-CN"/>
        </w:rPr>
        <w:t>Figure 2-1 Performance comparison for different number of repetition for multiple PRACH @AWGN 1Tx1Rx</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r>
        <w:rPr>
          <w:rFonts w:hint="eastAsia"/>
          <w:sz w:val="20"/>
          <w:lang w:val="en-US" w:eastAsia="zh-CN"/>
        </w:rPr>
        <w:t>It can be seen from figure 2-1 that the performance gap from single PRACH to 2 repetition is larger than other cases. In order to align performance, we tend to choose one of the values from them, and 2 PRACH transmission is preferred.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r>
        <w:rPr>
          <w:rFonts w:hint="eastAsia"/>
          <w:b/>
          <w:bCs/>
          <w:i/>
          <w:iCs/>
          <w:kern w:val="2"/>
          <w:lang w:val="en-US" w:eastAsia="zh-CN"/>
        </w:rPr>
        <w:t>Observation 2. Performance gap from single PRACH to 2 repetition is larger than other cases.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1. To consider one of the value from [2, 4, 8] for multiple PRACH performance alignment and 2 is preferred.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r>
        <w:rPr>
          <w:rFonts w:hint="eastAsia"/>
          <w:sz w:val="20"/>
          <w:lang w:val="en-US" w:eastAsia="zh-CN"/>
        </w:rPr>
        <w:t>With regard to the channel model for performance alignment, TDL channel model is used in the existing specification for PRACH performance and the feasibility and complexity of CDL channel model for test needs further study if CDL is considered. For performance alignment TDL channel model is preferred.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2. To consider TDL channel model for multiple PRACH performance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r>
        <w:rPr>
          <w:rFonts w:hint="eastAsia"/>
          <w:sz w:val="20"/>
          <w:lang w:val="en-US" w:eastAsia="zh-CN"/>
        </w:rPr>
        <w:t>Whether define BS performance requirements with impairments from FDSS or not is not reached[2].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u w:val="single"/>
              </w:rPr>
            </w:pPr>
            <w:r>
              <w:rPr>
                <w:b/>
                <w:u w:val="single"/>
              </w:rPr>
              <w:t>Issue 1-2-2: Whether to define BS performance requirements with Frequency Domain Spectrum Shaping (FDSS)</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lang w:eastAsia="zh-CN"/>
              </w:rPr>
            </w:pPr>
            <w:r>
              <w:rPr>
                <w:lang w:eastAsia="zh-CN"/>
              </w:rPr>
              <w:t>Option 1: Define BS performance requirements with FDSS</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hint="default"/>
                <w:sz w:val="20"/>
                <w:szCs w:val="20"/>
                <w:vertAlign w:val="baseline"/>
                <w:lang w:val="en-US" w:eastAsia="zh-CN"/>
              </w:rPr>
            </w:pPr>
            <w:r>
              <w:rPr>
                <w:rFonts w:hint="eastAsia"/>
                <w:lang w:eastAsia="zh-CN"/>
              </w:rPr>
              <w:t>O</w:t>
            </w:r>
            <w:r>
              <w:rPr>
                <w:lang w:eastAsia="zh-CN"/>
              </w:rPr>
              <w:t>ption 2: Not to define BS performance requirements with FDSS</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r>
        <w:rPr>
          <w:rFonts w:hint="eastAsia"/>
          <w:sz w:val="20"/>
          <w:lang w:val="en-US" w:eastAsia="zh-CN"/>
        </w:rPr>
        <w:t>As FDSS impact on RAN1 specification is not expected for MPR/PAPR reduction so the FDSS is implemented differently by companies.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Observation 3. No impact on specification is expected for MPR/PAPR reduction.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r>
        <w:rPr>
          <w:rFonts w:hint="eastAsia"/>
          <w:sz w:val="20"/>
          <w:lang w:val="en-US" w:eastAsia="zh-CN"/>
        </w:rPr>
        <w:t>Since MPR/PAPR reduction cannot affect the RAN1 specification, a straightforward way is to use transparent FDSS which means that the FDSS is different from companies.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3. To consider option 2 for BS performance requirements with FDSS.</w:t>
      </w:r>
    </w:p>
    <w:bookmarkEnd w:id="4"/>
    <w:bookmarkEnd w:id="5"/>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bookmarkStart w:id="8" w:name="OLE_LINK28"/>
      <w:bookmarkStart w:id="9" w:name="OLE_LINK11"/>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p>
    <w:p>
      <w:pPr>
        <w:pStyle w:val="62"/>
        <w:keepLines w:val="0"/>
        <w:widowControl w:val="0"/>
        <w:spacing w:before="120" w:after="120"/>
        <w:ind w:left="0" w:firstLine="0"/>
        <w:rPr>
          <w:rFonts w:hint="default"/>
          <w:b/>
          <w:bCs/>
          <w:i/>
          <w:iCs/>
          <w:kern w:val="2"/>
          <w:lang w:val="en-US" w:eastAsia="zh-CN"/>
        </w:rPr>
      </w:pPr>
    </w:p>
    <w:bookmarkEnd w:id="6"/>
    <w:bookmarkEnd w:id="7"/>
    <w:bookmarkEnd w:id="8"/>
    <w:bookmarkEnd w:id="9"/>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bCs/>
          <w:kern w:val="0"/>
          <w:szCs w:val="21"/>
        </w:rPr>
      </w:pPr>
      <w:r>
        <w:rPr>
          <w:rFonts w:hint="eastAsia"/>
          <w:sz w:val="20"/>
        </w:rPr>
        <w:t xml:space="preserve">In this contribution, we give </w:t>
      </w:r>
      <w:r>
        <w:rPr>
          <w:rFonts w:hint="eastAsia"/>
          <w:sz w:val="20"/>
          <w:lang w:val="en-US" w:eastAsia="zh-CN"/>
        </w:rPr>
        <w:t xml:space="preserve">our viewpoint </w:t>
      </w:r>
      <w:r>
        <w:rPr>
          <w:rFonts w:hint="eastAsia"/>
          <w:kern w:val="0"/>
          <w:sz w:val="20"/>
          <w:lang w:val="en-US" w:eastAsia="zh-CN"/>
        </w:rPr>
        <w:t>about the addition of ATG demodulation requirements in the specification</w:t>
      </w:r>
      <w:r>
        <w:rPr>
          <w:rFonts w:hint="eastAsia"/>
          <w:sz w:val="20"/>
        </w:rPr>
        <w:t xml:space="preserve">. </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r>
        <w:rPr>
          <w:rFonts w:hint="eastAsia"/>
          <w:bCs/>
          <w:kern w:val="0"/>
          <w:szCs w:val="21"/>
        </w:rPr>
        <w:t>The conclusions are: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Observation 1. Larger SCS is needed for FR2-2 due to the larger BW.</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Observation 2. Performance gap from single PRACH to 2 repetition is larger than other cases.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Observation 3. No impact on specification is expected for MPR/PAPR reduction.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1. To consider one of the value from [2, 4, 8] for multiple PRACH performance alignment and 2 is preferred.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2. To consider TDL channel model for multiple PRACH performance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3. To consider option 2 for BS performance requirements with FDSS.</w:t>
      </w: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0" w:name="OLE_LINK32"/>
      <w:r>
        <w:rPr>
          <w:rFonts w:hint="eastAsia"/>
          <w:sz w:val="20"/>
          <w:lang w:val="en-US" w:eastAsia="zh-CN"/>
        </w:rPr>
        <w:t xml:space="preserve"> </w:t>
      </w:r>
      <w:bookmarkEnd w:id="10"/>
      <w:r>
        <w:rPr>
          <w:rFonts w:hint="eastAsia"/>
          <w:sz w:val="20"/>
          <w:szCs w:val="20"/>
          <w:lang w:val="en-US" w:eastAsia="zh-CN"/>
        </w:rPr>
        <w:t>RP-221858</w:t>
      </w:r>
      <w:r>
        <w:rPr>
          <w:rFonts w:hint="eastAsia"/>
          <w:sz w:val="20"/>
        </w:rPr>
        <w:t>, Revised WID on Further NR coverage enhancements, China Telecom</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lang w:val="en-US" w:eastAsia="zh-CN"/>
        </w:rPr>
        <w:t>[2]  R4-2316922, WF on NR_cov_enh2_demod, Nokia</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163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Wingdings" w:hAnsi="Wingdings" w:eastAsia="宋体"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8"/>
  </w:num>
  <w:num w:numId="3">
    <w:abstractNumId w:val="6"/>
  </w:num>
  <w:num w:numId="4">
    <w:abstractNumId w:val="7"/>
  </w:num>
  <w:num w:numId="5">
    <w:abstractNumId w:val="1"/>
  </w:num>
  <w:num w:numId="6">
    <w:abstractNumId w:val="0"/>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45ABB"/>
    <w:rsid w:val="021B7C87"/>
    <w:rsid w:val="02204817"/>
    <w:rsid w:val="022D4A6E"/>
    <w:rsid w:val="023B0A39"/>
    <w:rsid w:val="023C78A7"/>
    <w:rsid w:val="023D4988"/>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870E9"/>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0808A0"/>
    <w:rsid w:val="09306537"/>
    <w:rsid w:val="09355076"/>
    <w:rsid w:val="09392119"/>
    <w:rsid w:val="09445E95"/>
    <w:rsid w:val="094E48CF"/>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F2DB1"/>
    <w:rsid w:val="0A8251CA"/>
    <w:rsid w:val="0A8828AB"/>
    <w:rsid w:val="0A927DC1"/>
    <w:rsid w:val="0A9B4F7F"/>
    <w:rsid w:val="0A9C263A"/>
    <w:rsid w:val="0A9D57F5"/>
    <w:rsid w:val="0A9E3D3D"/>
    <w:rsid w:val="0AA077E0"/>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960418"/>
    <w:rsid w:val="0CA3502C"/>
    <w:rsid w:val="0CB94808"/>
    <w:rsid w:val="0CC37BC2"/>
    <w:rsid w:val="0CD87ABE"/>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42250"/>
    <w:rsid w:val="0E963344"/>
    <w:rsid w:val="0E9E6E00"/>
    <w:rsid w:val="0EA40C1C"/>
    <w:rsid w:val="0EB1720D"/>
    <w:rsid w:val="0EB72E4B"/>
    <w:rsid w:val="0EEC6F1D"/>
    <w:rsid w:val="0F0419EB"/>
    <w:rsid w:val="0F103291"/>
    <w:rsid w:val="0F1D498B"/>
    <w:rsid w:val="0F1E5A47"/>
    <w:rsid w:val="0F337178"/>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C2479"/>
    <w:rsid w:val="10C715C5"/>
    <w:rsid w:val="10D335EF"/>
    <w:rsid w:val="10E746EA"/>
    <w:rsid w:val="10E83FE0"/>
    <w:rsid w:val="10EC3168"/>
    <w:rsid w:val="10F52718"/>
    <w:rsid w:val="112F3754"/>
    <w:rsid w:val="113F6A80"/>
    <w:rsid w:val="114028DC"/>
    <w:rsid w:val="1141355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B72E3"/>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30046"/>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517AB"/>
    <w:rsid w:val="17481B81"/>
    <w:rsid w:val="17481E8B"/>
    <w:rsid w:val="174A69B0"/>
    <w:rsid w:val="174C2678"/>
    <w:rsid w:val="175007ED"/>
    <w:rsid w:val="176B45C6"/>
    <w:rsid w:val="176B5780"/>
    <w:rsid w:val="176C447F"/>
    <w:rsid w:val="17850F99"/>
    <w:rsid w:val="17875303"/>
    <w:rsid w:val="178815C4"/>
    <w:rsid w:val="1793626E"/>
    <w:rsid w:val="17991452"/>
    <w:rsid w:val="17A875F5"/>
    <w:rsid w:val="17B5256D"/>
    <w:rsid w:val="17B728E1"/>
    <w:rsid w:val="17B92501"/>
    <w:rsid w:val="17CC1970"/>
    <w:rsid w:val="17E65848"/>
    <w:rsid w:val="17E66DD8"/>
    <w:rsid w:val="17E84839"/>
    <w:rsid w:val="17EE1403"/>
    <w:rsid w:val="17F25234"/>
    <w:rsid w:val="17FC1BEE"/>
    <w:rsid w:val="17FD061B"/>
    <w:rsid w:val="17FF6314"/>
    <w:rsid w:val="18005F41"/>
    <w:rsid w:val="18025414"/>
    <w:rsid w:val="18171305"/>
    <w:rsid w:val="182A241D"/>
    <w:rsid w:val="18334194"/>
    <w:rsid w:val="183E1D37"/>
    <w:rsid w:val="183E7BF4"/>
    <w:rsid w:val="18492EFC"/>
    <w:rsid w:val="184D0787"/>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A4292"/>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1E6D7C"/>
    <w:rsid w:val="202C5ACA"/>
    <w:rsid w:val="20446081"/>
    <w:rsid w:val="204852AD"/>
    <w:rsid w:val="20492BE6"/>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7D15BC"/>
    <w:rsid w:val="21810744"/>
    <w:rsid w:val="218D6EF5"/>
    <w:rsid w:val="2195668B"/>
    <w:rsid w:val="219F69EC"/>
    <w:rsid w:val="21A130EA"/>
    <w:rsid w:val="21AB278B"/>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B6237"/>
    <w:rsid w:val="22CD14B5"/>
    <w:rsid w:val="22E02C6E"/>
    <w:rsid w:val="22E04FF4"/>
    <w:rsid w:val="22E1121B"/>
    <w:rsid w:val="22EA4C70"/>
    <w:rsid w:val="22F62099"/>
    <w:rsid w:val="22F75251"/>
    <w:rsid w:val="22F86F75"/>
    <w:rsid w:val="22FB4D32"/>
    <w:rsid w:val="23131055"/>
    <w:rsid w:val="233C6F76"/>
    <w:rsid w:val="234449F5"/>
    <w:rsid w:val="23536618"/>
    <w:rsid w:val="23816932"/>
    <w:rsid w:val="23923EC7"/>
    <w:rsid w:val="23972CF0"/>
    <w:rsid w:val="239C062C"/>
    <w:rsid w:val="23A9484E"/>
    <w:rsid w:val="23B32F98"/>
    <w:rsid w:val="23B84268"/>
    <w:rsid w:val="23D17D7B"/>
    <w:rsid w:val="23D36D91"/>
    <w:rsid w:val="23F70BA5"/>
    <w:rsid w:val="23F93D0D"/>
    <w:rsid w:val="2405417E"/>
    <w:rsid w:val="241B5C62"/>
    <w:rsid w:val="24352A14"/>
    <w:rsid w:val="243B2F20"/>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0D2CBB"/>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382108"/>
    <w:rsid w:val="294E766A"/>
    <w:rsid w:val="296B0F20"/>
    <w:rsid w:val="297161D3"/>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31922"/>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784D57"/>
    <w:rsid w:val="2D7919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3D2327"/>
    <w:rsid w:val="2F4F6FBB"/>
    <w:rsid w:val="2F664E2B"/>
    <w:rsid w:val="2F6C7BE3"/>
    <w:rsid w:val="2F783485"/>
    <w:rsid w:val="2F7F5C0B"/>
    <w:rsid w:val="2FA0088D"/>
    <w:rsid w:val="2FA6492D"/>
    <w:rsid w:val="2FC03679"/>
    <w:rsid w:val="2FC86676"/>
    <w:rsid w:val="2FD17A1B"/>
    <w:rsid w:val="2FD71CA4"/>
    <w:rsid w:val="2FDC4A8D"/>
    <w:rsid w:val="2FF93066"/>
    <w:rsid w:val="30021D23"/>
    <w:rsid w:val="301A71CE"/>
    <w:rsid w:val="301E049B"/>
    <w:rsid w:val="302A4BE6"/>
    <w:rsid w:val="30396A0E"/>
    <w:rsid w:val="304478EC"/>
    <w:rsid w:val="30515C8E"/>
    <w:rsid w:val="3069082A"/>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527CA"/>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509F7"/>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9B1D3D"/>
    <w:rsid w:val="35C06D50"/>
    <w:rsid w:val="35CD6F14"/>
    <w:rsid w:val="35D24294"/>
    <w:rsid w:val="35D71152"/>
    <w:rsid w:val="35FF6F3C"/>
    <w:rsid w:val="36075F27"/>
    <w:rsid w:val="360D1C5B"/>
    <w:rsid w:val="36121506"/>
    <w:rsid w:val="36182B79"/>
    <w:rsid w:val="361D7A43"/>
    <w:rsid w:val="361F3323"/>
    <w:rsid w:val="36402EFA"/>
    <w:rsid w:val="36496A51"/>
    <w:rsid w:val="365623F6"/>
    <w:rsid w:val="368230C6"/>
    <w:rsid w:val="36843A03"/>
    <w:rsid w:val="368F5006"/>
    <w:rsid w:val="368F7E4F"/>
    <w:rsid w:val="36925340"/>
    <w:rsid w:val="36985297"/>
    <w:rsid w:val="369F633B"/>
    <w:rsid w:val="36A30FDB"/>
    <w:rsid w:val="36A7007C"/>
    <w:rsid w:val="36B24AE8"/>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90D89"/>
    <w:rsid w:val="388E5848"/>
    <w:rsid w:val="38A341A7"/>
    <w:rsid w:val="38BA6810"/>
    <w:rsid w:val="38BD31EE"/>
    <w:rsid w:val="38BE4605"/>
    <w:rsid w:val="38CB3BDF"/>
    <w:rsid w:val="38D33D29"/>
    <w:rsid w:val="38D41CCF"/>
    <w:rsid w:val="38D62E18"/>
    <w:rsid w:val="38E04FCC"/>
    <w:rsid w:val="38E40A5B"/>
    <w:rsid w:val="38E842BA"/>
    <w:rsid w:val="38F07867"/>
    <w:rsid w:val="38F16A28"/>
    <w:rsid w:val="38F5790D"/>
    <w:rsid w:val="391A3359"/>
    <w:rsid w:val="39285D57"/>
    <w:rsid w:val="394B6470"/>
    <w:rsid w:val="395C6EA8"/>
    <w:rsid w:val="39872512"/>
    <w:rsid w:val="39A602F9"/>
    <w:rsid w:val="39BD45C8"/>
    <w:rsid w:val="39BF1F3E"/>
    <w:rsid w:val="39C2316A"/>
    <w:rsid w:val="39C44028"/>
    <w:rsid w:val="39E643EA"/>
    <w:rsid w:val="39F36281"/>
    <w:rsid w:val="39FA0290"/>
    <w:rsid w:val="39FD376D"/>
    <w:rsid w:val="39FD6C9C"/>
    <w:rsid w:val="3A0224B9"/>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E417E3"/>
    <w:rsid w:val="3AE440AF"/>
    <w:rsid w:val="3AF7667E"/>
    <w:rsid w:val="3B113F51"/>
    <w:rsid w:val="3B192990"/>
    <w:rsid w:val="3B295D73"/>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BFB6A28"/>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ED0F96"/>
    <w:rsid w:val="3DF95812"/>
    <w:rsid w:val="3E1D4B24"/>
    <w:rsid w:val="3E3A04FA"/>
    <w:rsid w:val="3E3D6B96"/>
    <w:rsid w:val="3E441C7D"/>
    <w:rsid w:val="3E490256"/>
    <w:rsid w:val="3E55739E"/>
    <w:rsid w:val="3E610D47"/>
    <w:rsid w:val="3E6C43C8"/>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633AA"/>
    <w:rsid w:val="419E60D3"/>
    <w:rsid w:val="41A32F2A"/>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50DF3"/>
    <w:rsid w:val="424B5824"/>
    <w:rsid w:val="42616DD3"/>
    <w:rsid w:val="426973AD"/>
    <w:rsid w:val="426F56CA"/>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54171"/>
    <w:rsid w:val="430E7E66"/>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94DDE"/>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67D8B"/>
    <w:rsid w:val="44EA6491"/>
    <w:rsid w:val="44F03F8F"/>
    <w:rsid w:val="44F14ECF"/>
    <w:rsid w:val="44F8119B"/>
    <w:rsid w:val="4504328F"/>
    <w:rsid w:val="45275172"/>
    <w:rsid w:val="45332511"/>
    <w:rsid w:val="453F44DA"/>
    <w:rsid w:val="45412C46"/>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287409"/>
    <w:rsid w:val="473069AF"/>
    <w:rsid w:val="474A0EAF"/>
    <w:rsid w:val="474D4AFC"/>
    <w:rsid w:val="474E50BE"/>
    <w:rsid w:val="47696F9C"/>
    <w:rsid w:val="47714F1F"/>
    <w:rsid w:val="47725A17"/>
    <w:rsid w:val="477D3243"/>
    <w:rsid w:val="478821A1"/>
    <w:rsid w:val="479128A9"/>
    <w:rsid w:val="47975EDC"/>
    <w:rsid w:val="47983B19"/>
    <w:rsid w:val="47A3609D"/>
    <w:rsid w:val="47C01792"/>
    <w:rsid w:val="47C57A48"/>
    <w:rsid w:val="47D511BD"/>
    <w:rsid w:val="47DC159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84AA0"/>
    <w:rsid w:val="49D7694D"/>
    <w:rsid w:val="49EB7232"/>
    <w:rsid w:val="4A0244D3"/>
    <w:rsid w:val="4A067C85"/>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C459D"/>
    <w:rsid w:val="4C5D1F92"/>
    <w:rsid w:val="4C603F16"/>
    <w:rsid w:val="4C6262E0"/>
    <w:rsid w:val="4C644C45"/>
    <w:rsid w:val="4C6703A3"/>
    <w:rsid w:val="4C6D7518"/>
    <w:rsid w:val="4C923A72"/>
    <w:rsid w:val="4CB96B0F"/>
    <w:rsid w:val="4CBD582C"/>
    <w:rsid w:val="4CC95E72"/>
    <w:rsid w:val="4CCE34B6"/>
    <w:rsid w:val="4CDA2AF3"/>
    <w:rsid w:val="4CDF19B6"/>
    <w:rsid w:val="4CE34E9F"/>
    <w:rsid w:val="4CF52D94"/>
    <w:rsid w:val="4D015C34"/>
    <w:rsid w:val="4D030742"/>
    <w:rsid w:val="4D462159"/>
    <w:rsid w:val="4D47409F"/>
    <w:rsid w:val="4D525BE3"/>
    <w:rsid w:val="4D566017"/>
    <w:rsid w:val="4D6022FC"/>
    <w:rsid w:val="4D637556"/>
    <w:rsid w:val="4D7358D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07CCA"/>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06027"/>
    <w:rsid w:val="4EBD3E8B"/>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42BA2"/>
    <w:rsid w:val="51953936"/>
    <w:rsid w:val="519E116A"/>
    <w:rsid w:val="51A2793A"/>
    <w:rsid w:val="51BA0CB7"/>
    <w:rsid w:val="51BE04CC"/>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C56A7E"/>
    <w:rsid w:val="52DE691D"/>
    <w:rsid w:val="52E04D27"/>
    <w:rsid w:val="52ED0C96"/>
    <w:rsid w:val="53061492"/>
    <w:rsid w:val="53061721"/>
    <w:rsid w:val="530C0E6B"/>
    <w:rsid w:val="53166FEF"/>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C3174F"/>
    <w:rsid w:val="53D6247A"/>
    <w:rsid w:val="53DB3477"/>
    <w:rsid w:val="53DE00FF"/>
    <w:rsid w:val="53E77CBF"/>
    <w:rsid w:val="53FE7128"/>
    <w:rsid w:val="540D4449"/>
    <w:rsid w:val="540F3D40"/>
    <w:rsid w:val="54201800"/>
    <w:rsid w:val="54233D9A"/>
    <w:rsid w:val="54247F22"/>
    <w:rsid w:val="542B4430"/>
    <w:rsid w:val="542C29CD"/>
    <w:rsid w:val="542F1551"/>
    <w:rsid w:val="54381756"/>
    <w:rsid w:val="545750B7"/>
    <w:rsid w:val="545A1EBF"/>
    <w:rsid w:val="5469692F"/>
    <w:rsid w:val="54727478"/>
    <w:rsid w:val="54885FFE"/>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5EB7"/>
    <w:rsid w:val="55A42B80"/>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022EB"/>
    <w:rsid w:val="57770501"/>
    <w:rsid w:val="577B3337"/>
    <w:rsid w:val="577D4F28"/>
    <w:rsid w:val="57A33734"/>
    <w:rsid w:val="57AB6ADD"/>
    <w:rsid w:val="57B7178E"/>
    <w:rsid w:val="57B71EB5"/>
    <w:rsid w:val="57B76EED"/>
    <w:rsid w:val="57BD72A7"/>
    <w:rsid w:val="57BE5838"/>
    <w:rsid w:val="57BE5B51"/>
    <w:rsid w:val="57CE70CD"/>
    <w:rsid w:val="57D82354"/>
    <w:rsid w:val="57FC07D9"/>
    <w:rsid w:val="57FF6992"/>
    <w:rsid w:val="580F1B21"/>
    <w:rsid w:val="581B7E79"/>
    <w:rsid w:val="58437ECA"/>
    <w:rsid w:val="58500F22"/>
    <w:rsid w:val="58587379"/>
    <w:rsid w:val="58667ABC"/>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2E6510"/>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2CFF"/>
    <w:rsid w:val="5D960EE9"/>
    <w:rsid w:val="5D9A0CFA"/>
    <w:rsid w:val="5D9B296A"/>
    <w:rsid w:val="5D9B3233"/>
    <w:rsid w:val="5DA53D05"/>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75C0C"/>
    <w:rsid w:val="5F8F0B9E"/>
    <w:rsid w:val="5F8F267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7A6EE7"/>
    <w:rsid w:val="6182260C"/>
    <w:rsid w:val="618D6AD7"/>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E54611"/>
    <w:rsid w:val="63F47D2A"/>
    <w:rsid w:val="63FE2D33"/>
    <w:rsid w:val="64046427"/>
    <w:rsid w:val="640F1891"/>
    <w:rsid w:val="642265C6"/>
    <w:rsid w:val="64264A79"/>
    <w:rsid w:val="64290FA1"/>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0AA0"/>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0B6225"/>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1C64D7"/>
    <w:rsid w:val="682211D1"/>
    <w:rsid w:val="6836510C"/>
    <w:rsid w:val="685A4DFB"/>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E175AE"/>
    <w:rsid w:val="69F0745A"/>
    <w:rsid w:val="6A0D20F2"/>
    <w:rsid w:val="6A1D59EC"/>
    <w:rsid w:val="6A247F72"/>
    <w:rsid w:val="6A3E2393"/>
    <w:rsid w:val="6A435B92"/>
    <w:rsid w:val="6A444DB8"/>
    <w:rsid w:val="6A4D4828"/>
    <w:rsid w:val="6A516AC3"/>
    <w:rsid w:val="6A5303BA"/>
    <w:rsid w:val="6A641D9C"/>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E2FAF"/>
    <w:rsid w:val="6C45610F"/>
    <w:rsid w:val="6C59472D"/>
    <w:rsid w:val="6C5A4564"/>
    <w:rsid w:val="6C603744"/>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AB5BEE"/>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60B3B"/>
    <w:rsid w:val="70BB2EF0"/>
    <w:rsid w:val="70BC2801"/>
    <w:rsid w:val="70BE26FE"/>
    <w:rsid w:val="70C6646C"/>
    <w:rsid w:val="70C72A96"/>
    <w:rsid w:val="70FC2D1E"/>
    <w:rsid w:val="71015D6B"/>
    <w:rsid w:val="710266F5"/>
    <w:rsid w:val="71115386"/>
    <w:rsid w:val="71151975"/>
    <w:rsid w:val="71336A65"/>
    <w:rsid w:val="71545B37"/>
    <w:rsid w:val="71570E43"/>
    <w:rsid w:val="71573E01"/>
    <w:rsid w:val="715A268F"/>
    <w:rsid w:val="71702748"/>
    <w:rsid w:val="717C4AD2"/>
    <w:rsid w:val="71867894"/>
    <w:rsid w:val="719F7A78"/>
    <w:rsid w:val="71B623F6"/>
    <w:rsid w:val="71C42AEF"/>
    <w:rsid w:val="71C7540C"/>
    <w:rsid w:val="71D438FF"/>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46163"/>
    <w:rsid w:val="72CF1AC7"/>
    <w:rsid w:val="72E42AFA"/>
    <w:rsid w:val="72E85578"/>
    <w:rsid w:val="72EB4466"/>
    <w:rsid w:val="72F5235D"/>
    <w:rsid w:val="72FA28B3"/>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B4BF4"/>
    <w:rsid w:val="73CC319B"/>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50BD"/>
    <w:rsid w:val="746B732F"/>
    <w:rsid w:val="746E18CB"/>
    <w:rsid w:val="746F3904"/>
    <w:rsid w:val="748D52FA"/>
    <w:rsid w:val="74986414"/>
    <w:rsid w:val="74993216"/>
    <w:rsid w:val="74B11E80"/>
    <w:rsid w:val="74B44784"/>
    <w:rsid w:val="74B808BF"/>
    <w:rsid w:val="74C03187"/>
    <w:rsid w:val="74E4756E"/>
    <w:rsid w:val="74EA0E1A"/>
    <w:rsid w:val="74ED19FF"/>
    <w:rsid w:val="74F4641C"/>
    <w:rsid w:val="75084E8F"/>
    <w:rsid w:val="7509261E"/>
    <w:rsid w:val="750E3D34"/>
    <w:rsid w:val="75202656"/>
    <w:rsid w:val="752231CE"/>
    <w:rsid w:val="756625FA"/>
    <w:rsid w:val="75752B04"/>
    <w:rsid w:val="75803430"/>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3D7143"/>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0B2EAA"/>
    <w:rsid w:val="7833711D"/>
    <w:rsid w:val="78460D63"/>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5F1C81"/>
    <w:rsid w:val="7A6E4BF5"/>
    <w:rsid w:val="7A7A2665"/>
    <w:rsid w:val="7A851D5D"/>
    <w:rsid w:val="7A8A2267"/>
    <w:rsid w:val="7AB53126"/>
    <w:rsid w:val="7AB7121B"/>
    <w:rsid w:val="7AB76FE8"/>
    <w:rsid w:val="7AD268E2"/>
    <w:rsid w:val="7ADC0B33"/>
    <w:rsid w:val="7AE14C19"/>
    <w:rsid w:val="7AEA174E"/>
    <w:rsid w:val="7AEC1F55"/>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A765D"/>
    <w:rsid w:val="7D2E198F"/>
    <w:rsid w:val="7D3B3737"/>
    <w:rsid w:val="7D3D73AF"/>
    <w:rsid w:val="7D5B27C9"/>
    <w:rsid w:val="7D62117D"/>
    <w:rsid w:val="7D6B7F02"/>
    <w:rsid w:val="7D834A16"/>
    <w:rsid w:val="7D9D0A97"/>
    <w:rsid w:val="7D9D438F"/>
    <w:rsid w:val="7DA514D2"/>
    <w:rsid w:val="7DBB5D06"/>
    <w:rsid w:val="7DCD1A27"/>
    <w:rsid w:val="7DCD4EB5"/>
    <w:rsid w:val="7DD76E6E"/>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6D45C9"/>
    <w:rsid w:val="7F775413"/>
    <w:rsid w:val="7F7D7A8E"/>
    <w:rsid w:val="7F872588"/>
    <w:rsid w:val="7F8725BA"/>
    <w:rsid w:val="7F8C6A8F"/>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0</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ZTE_Wenhao</cp:lastModifiedBy>
  <dcterms:modified xsi:type="dcterms:W3CDTF">2023-11-03T09:00:16Z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FBE525C786E743D597468B69D21E7799</vt:lpwstr>
  </property>
</Properties>
</file>